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E1B4B"/>
          <w:sz w:val="30"/>
          <w:szCs w:val="30"/>
        </w:rPr>
        <w:t xml:space="preserve">HoskoteConstruction</w:t>
      </w:r>
    </w:p>
    <w:p>
      <w:pPr>
        <w:spacing w:after="200"/>
        <w:jc w:val="center"/>
      </w:pPr>
      <w:r>
        <w:rPr>
          <w:rFonts w:ascii="Calibri" w:cs="Calibri" w:eastAsia="Calibri" w:hAnsi="Calibri"/>
          <w:i/>
          <w:iCs/>
          <w:color w:val="8C857A"/>
          <w:sz w:val="18"/>
          <w:szCs w:val="18"/>
        </w:rPr>
        <w:t xml:space="preserve">Balaji Gold City, Hoskote, Bengaluru Rural, Karnataka – 562114  |  UDYAM-KR-02-0127051  |  +91 97428 01802</w:t>
      </w:r>
    </w:p>
    <w:p>
      <w:pPr>
        <w:spacing w:after="60"/>
        <w:jc w:val="center"/>
      </w:pPr>
      <w:r>
        <w:rPr>
          <w:rFonts w:ascii="Calibri" w:cs="Calibri" w:eastAsia="Calibri" w:hAnsi="Calibri"/>
          <w:b/>
          <w:bCs/>
          <w:color w:val="000000"/>
          <w:sz w:val="24"/>
          <w:szCs w:val="24"/>
        </w:rPr>
        <w:t xml:space="preserve">DETAILED COST ESTIMATE (BILL OF QUANTITIES)</w:t>
      </w:r>
    </w:p>
    <w:p>
      <w:pPr>
        <w:spacing w:after="20"/>
        <w:jc w:val="center"/>
      </w:pPr>
      <w:r>
        <w:rPr>
          <w:rFonts w:ascii="Calibri" w:cs="Calibri" w:eastAsia="Calibri" w:hAnsi="Calibri"/>
          <w:b/>
          <w:bCs/>
          <w:color w:val="000000"/>
          <w:sz w:val="18"/>
          <w:szCs w:val="18"/>
        </w:rPr>
        <w:t xml:space="preserve">Proposed for Residential Building at: ______________________________________________</w:t>
      </w:r>
    </w:p>
    <w:p>
      <w:pPr>
        <w:spacing w:after="260"/>
        <w:jc w:val="center"/>
      </w:pPr>
      <w:r>
        <w:rPr>
          <w:rFonts w:ascii="Calibri" w:cs="Calibri" w:eastAsia="Calibri" w:hAnsi="Calibri"/>
          <w:b/>
          <w:bCs/>
          <w:color w:val="000000"/>
          <w:sz w:val="18"/>
          <w:szCs w:val="18"/>
        </w:rPr>
        <w:t xml:space="preserve">In favour of: ______________________________  |  Date: ____________</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500"/>
        <w:gridCol w:w="4600"/>
        <w:gridCol w:w="900"/>
        <w:gridCol w:w="900"/>
        <w:gridCol w:w="1200"/>
        <w:gridCol w:w="1400"/>
      </w:tblGrid>
      <w:tr>
        <w:tc>
          <w:tcPr>
            <w:tcW w:type="dxa" w:w="500"/>
            <w:shd w:fill="1E1B4B" w:val="clear"/>
            <w:tcMar>
              <w:top w:type="dxa" w:w="60"/>
              <w:left w:type="dxa" w:w="80"/>
              <w:bottom w:type="dxa" w:w="60"/>
              <w:right w:type="dxa" w:w="80"/>
            </w:tcMar>
          </w:tcPr>
          <w:p>
            <w:pPr>
              <w:jc w:val="center"/>
            </w:pPr>
            <w:r>
              <w:rPr>
                <w:rFonts w:ascii="Calibri" w:cs="Calibri" w:eastAsia="Calibri" w:hAnsi="Calibri"/>
                <w:b/>
                <w:bCs/>
                <w:color w:val="FFFFFF"/>
                <w:sz w:val="18"/>
                <w:szCs w:val="18"/>
              </w:rPr>
              <w:t xml:space="preserve">Sl No</w:t>
            </w:r>
          </w:p>
        </w:tc>
        <w:tc>
          <w:tcPr>
            <w:tcW w:type="dxa" w:w="4600"/>
            <w:shd w:fill="1E1B4B" w:val="clear"/>
            <w:tcMar>
              <w:top w:type="dxa" w:w="60"/>
              <w:left w:type="dxa" w:w="80"/>
              <w:bottom w:type="dxa" w:w="60"/>
              <w:right w:type="dxa" w:w="80"/>
            </w:tcMar>
          </w:tcPr>
          <w:p>
            <w:pPr>
              <w:jc w:val="left"/>
            </w:pPr>
            <w:r>
              <w:rPr>
                <w:rFonts w:ascii="Calibri" w:cs="Calibri" w:eastAsia="Calibri" w:hAnsi="Calibri"/>
                <w:b/>
                <w:bCs/>
                <w:color w:val="FFFFFF"/>
                <w:sz w:val="18"/>
                <w:szCs w:val="18"/>
              </w:rPr>
              <w:t xml:space="preserve">Particulars</w:t>
            </w:r>
          </w:p>
        </w:tc>
        <w:tc>
          <w:tcPr>
            <w:tcW w:type="dxa" w:w="900"/>
            <w:shd w:fill="1E1B4B" w:val="clear"/>
            <w:tcMar>
              <w:top w:type="dxa" w:w="60"/>
              <w:left w:type="dxa" w:w="80"/>
              <w:bottom w:type="dxa" w:w="60"/>
              <w:right w:type="dxa" w:w="80"/>
            </w:tcMar>
          </w:tcPr>
          <w:p>
            <w:pPr>
              <w:jc w:val="center"/>
            </w:pPr>
            <w:r>
              <w:rPr>
                <w:rFonts w:ascii="Calibri" w:cs="Calibri" w:eastAsia="Calibri" w:hAnsi="Calibri"/>
                <w:b/>
                <w:bCs/>
                <w:color w:val="FFFFFF"/>
                <w:sz w:val="18"/>
                <w:szCs w:val="18"/>
              </w:rPr>
              <w:t xml:space="preserve">Unit</w:t>
            </w:r>
          </w:p>
        </w:tc>
        <w:tc>
          <w:tcPr>
            <w:tcW w:type="dxa" w:w="900"/>
            <w:shd w:fill="1E1B4B" w:val="clear"/>
            <w:tcMar>
              <w:top w:type="dxa" w:w="60"/>
              <w:left w:type="dxa" w:w="80"/>
              <w:bottom w:type="dxa" w:w="60"/>
              <w:right w:type="dxa" w:w="80"/>
            </w:tcMar>
          </w:tcPr>
          <w:p>
            <w:pPr>
              <w:jc w:val="center"/>
            </w:pPr>
            <w:r>
              <w:rPr>
                <w:rFonts w:ascii="Calibri" w:cs="Calibri" w:eastAsia="Calibri" w:hAnsi="Calibri"/>
                <w:b/>
                <w:bCs/>
                <w:color w:val="FFFFFF"/>
                <w:sz w:val="18"/>
                <w:szCs w:val="18"/>
              </w:rPr>
              <w:t xml:space="preserve">Qty</w:t>
            </w:r>
          </w:p>
        </w:tc>
        <w:tc>
          <w:tcPr>
            <w:tcW w:type="dxa" w:w="1200"/>
            <w:shd w:fill="1E1B4B" w:val="clear"/>
            <w:tcMar>
              <w:top w:type="dxa" w:w="60"/>
              <w:left w:type="dxa" w:w="80"/>
              <w:bottom w:type="dxa" w:w="60"/>
              <w:right w:type="dxa" w:w="80"/>
            </w:tcMar>
          </w:tcPr>
          <w:p>
            <w:pPr>
              <w:jc w:val="right"/>
            </w:pPr>
            <w:r>
              <w:rPr>
                <w:rFonts w:ascii="Calibri" w:cs="Calibri" w:eastAsia="Calibri" w:hAnsi="Calibri"/>
                <w:b/>
                <w:bCs/>
                <w:color w:val="FFFFFF"/>
                <w:sz w:val="18"/>
                <w:szCs w:val="18"/>
              </w:rPr>
              <w:t xml:space="preserve">Rate (₹)</w:t>
            </w:r>
          </w:p>
        </w:tc>
        <w:tc>
          <w:tcPr>
            <w:tcW w:type="dxa" w:w="1400"/>
            <w:shd w:fill="1E1B4B" w:val="clear"/>
            <w:tcMar>
              <w:top w:type="dxa" w:w="60"/>
              <w:left w:type="dxa" w:w="80"/>
              <w:bottom w:type="dxa" w:w="60"/>
              <w:right w:type="dxa" w:w="80"/>
            </w:tcMar>
          </w:tcPr>
          <w:p>
            <w:pPr>
              <w:jc w:val="right"/>
            </w:pPr>
            <w:r>
              <w:rPr>
                <w:rFonts w:ascii="Calibri" w:cs="Calibri" w:eastAsia="Calibri" w:hAnsi="Calibri"/>
                <w:b/>
                <w:bCs/>
                <w:color w:val="FFFFFF"/>
                <w:sz w:val="18"/>
                <w:szCs w:val="18"/>
              </w:rPr>
              <w:t xml:space="preserve">Amount (₹)</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1. EARTHWORK</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General excavation (all soil types) up to 3.00m depth, incl. backfilling, dewatering, disposal</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90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1,500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1,35,000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EARTHWORK</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1,35,000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2. CONCRETE</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PCC 1:3:6, 20mm &amp; down aggregate, incl. base prep, compaction, curing</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14</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84,000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2.02</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RMC/M25 Grade — Columns (below GF, GF, First Floor)</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19</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1,14,000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2.03</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RMC/M25 Grade — Slab (Ground Floor, First Floor)</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36</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2,16,000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2.04</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RMC/M25 Grade — Beams (Plinth, GF, First Floor)</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24</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1,44,000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2.05</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Footing / raft slab for columns &amp; retaining walls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14</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84,000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2.06</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Staircase, lintels, chajja/lofts (all floors)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34</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2,04,000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CONCRETE</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8,46,000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3. FORM WORK (Shuttering)</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Columns — below GF, GF, First Floor</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90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1,26,000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3.02</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Slab — Ground Floor, First Floor</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190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2,66,000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3.03</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Beams — Plinth, GF, First Floor</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235</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3,29,000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3.04</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Footing/raft slab, retaining walls, ramp, staircase &amp; misc.</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165</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2,30,000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FORM WORK</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9,51,000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4. STEEL</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4.01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Fe500 HSD reinforcement steel — fabrication &amp; fixing as per drawings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Ton</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61,000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6,10,000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STEEL</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6,10,000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5. MASONRY</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5.01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Size stone masonry in foundation &amp; plinth, CM 1:4</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25</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5,600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5.02</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Table-moulded burnt brick masonry, 230mm, CM 1:6, superstructure</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Cum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120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5,600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6,72,000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MASONRY</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8,12,000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6. PLASTERING</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6.01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External plastering, 2 coats CM 1:6 with waterproof compound, sand-faced finish</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280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3,700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10,36,000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PLASTERING</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10,36,000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7. PAINTING</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7.01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External textured paint, approved make/shade, base coat + 2 finish coats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280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2,600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7,28,000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PAINTING</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7,28,000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8. DOORS &amp; WINDOWS</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8.01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Teak panelled single-shutter door, teakwood frame 75x125mm, incl. hardware</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7,400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74,000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DOORS &amp; WINDOWS</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74,000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9. FLOORING / DADOING</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9.01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Vitrified tile flooring 600x600mm over 20mm CM 1:4 bed, incl. grouting</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125</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3,00,000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9.02</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Vitrified tile skirting, 100mm high, matching grout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Rmt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34</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1,200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40,800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FLOORING &amp; DADOING</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3,40,800</w:t>
            </w:r>
          </w:p>
        </w:tc>
      </w:tr>
      <w:tr>
        <w:tc>
          <w:tcPr>
            <w:tcW w:type="dxa" w:w="9500"/>
            <w:gridSpan w:val="6"/>
            <w:shd w:fill="E0E7FF" w:val="clear"/>
            <w:tcMar>
              <w:top w:type="dxa" w:w="60"/>
              <w:left w:type="dxa" w:w="80"/>
              <w:bottom w:type="dxa" w:w="60"/>
              <w:right w:type="dxa" w:w="80"/>
            </w:tcMar>
          </w:tcPr>
          <w:p>
            <w:r>
              <w:rPr>
                <w:rFonts w:ascii="Calibri" w:cs="Calibri" w:eastAsia="Calibri" w:hAnsi="Calibri"/>
                <w:b/>
                <w:bCs/>
                <w:color w:val="1E1B4B"/>
                <w:sz w:val="19"/>
                <w:szCs w:val="19"/>
              </w:rPr>
              <w:t xml:space="preserve">10. MISCELLANEOUS</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PVC rainwater downpipe (SWR) 100mm dia, incl. fittings &amp; brackets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Rmt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14</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19,600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10.02</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Terrace waterproofing, surface method, 10-year guarantee spec</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48</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1,15,200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10.03</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Toilet waterproofing, 2-layer surface method, 10-year guarantee spec</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14,000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10.04</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UG sump tank — RCC M20, incl. excavation, steel, waterproofing</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Ltrs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8000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15</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1,20,000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10.05</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Overhead Sintex tank incl. platform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Ltrs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2000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24</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48,000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10.06</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Compound wall, 150mm hollow block masonry, incl. foundation, plaster, MS gates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Rmt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56</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3,200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1,79,200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10.07</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Flagging/apron concrete around building, PCC 1:4:8, 100mm thick</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Sqm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9</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6,000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54,000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10.08</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CI manhole frame &amp; cover for UG sump</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Nos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9</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3,200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28,800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MISCELLANEOUS</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5,78,800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SUB TOTAL — CIVIL WORKS (1–10)</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61,11,600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Electrification (7% of civil works total)</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4,27,812</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12</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Plumbing (7% of civil works total)</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4,27,812</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GRAND TOTAL (A) — Civil, Electrical &amp; Plumbing</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69,67,224</w:t>
            </w:r>
          </w:p>
        </w:tc>
      </w:tr>
    </w:tbl>
    <w:p>
      <w:pPr>
        <w:spacing w:before="260"/>
      </w:pPr>
    </w:p>
    <w:p>
      <w:pPr>
        <w:spacing w:after="120"/>
        <w:jc w:val="left"/>
      </w:pPr>
      <w:r>
        <w:rPr>
          <w:rFonts w:ascii="Calibri" w:cs="Calibri" w:eastAsia="Calibri" w:hAnsi="Calibri"/>
          <w:b/>
          <w:bCs/>
          <w:color w:val="1E1B4B"/>
          <w:sz w:val="20"/>
          <w:szCs w:val="20"/>
        </w:rPr>
        <w:t xml:space="preserve">Part B — Interiors &amp; Fittings (Optional Add-on)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500"/>
        <w:gridCol w:w="4600"/>
        <w:gridCol w:w="900"/>
        <w:gridCol w:w="900"/>
        <w:gridCol w:w="1200"/>
        <w:gridCol w:w="1400"/>
      </w:tblGrid>
      <w:tr>
        <w:tc>
          <w:tcPr>
            <w:tcW w:type="dxa" w:w="500"/>
            <w:shd w:fill="1E1B4B" w:val="clear"/>
            <w:tcMar>
              <w:top w:type="dxa" w:w="60"/>
              <w:left w:type="dxa" w:w="80"/>
              <w:bottom w:type="dxa" w:w="60"/>
              <w:right w:type="dxa" w:w="80"/>
            </w:tcMar>
          </w:tcPr>
          <w:p>
            <w:pPr>
              <w:jc w:val="center"/>
            </w:pPr>
            <w:r>
              <w:rPr>
                <w:rFonts w:ascii="Calibri" w:cs="Calibri" w:eastAsia="Calibri" w:hAnsi="Calibri"/>
                <w:b/>
                <w:bCs/>
                <w:color w:val="FFFFFF"/>
                <w:sz w:val="18"/>
                <w:szCs w:val="18"/>
              </w:rPr>
              <w:t xml:space="preserve">Sl No</w:t>
            </w:r>
          </w:p>
        </w:tc>
        <w:tc>
          <w:tcPr>
            <w:tcW w:type="dxa" w:w="4600"/>
            <w:shd w:fill="1E1B4B" w:val="clear"/>
            <w:tcMar>
              <w:top w:type="dxa" w:w="60"/>
              <w:left w:type="dxa" w:w="80"/>
              <w:bottom w:type="dxa" w:w="60"/>
              <w:right w:type="dxa" w:w="80"/>
            </w:tcMar>
          </w:tcPr>
          <w:p>
            <w:pPr>
              <w:jc w:val="left"/>
            </w:pPr>
            <w:r>
              <w:rPr>
                <w:rFonts w:ascii="Calibri" w:cs="Calibri" w:eastAsia="Calibri" w:hAnsi="Calibri"/>
                <w:b/>
                <w:bCs/>
                <w:color w:val="FFFFFF"/>
                <w:sz w:val="18"/>
                <w:szCs w:val="18"/>
              </w:rPr>
              <w:t xml:space="preserve">Particulars</w:t>
            </w:r>
          </w:p>
        </w:tc>
        <w:tc>
          <w:tcPr>
            <w:tcW w:type="dxa" w:w="900"/>
            <w:shd w:fill="1E1B4B" w:val="clear"/>
            <w:tcMar>
              <w:top w:type="dxa" w:w="60"/>
              <w:left w:type="dxa" w:w="80"/>
              <w:bottom w:type="dxa" w:w="60"/>
              <w:right w:type="dxa" w:w="80"/>
            </w:tcMar>
          </w:tcPr>
          <w:p>
            <w:pPr>
              <w:jc w:val="center"/>
            </w:pPr>
            <w:r>
              <w:rPr>
                <w:rFonts w:ascii="Calibri" w:cs="Calibri" w:eastAsia="Calibri" w:hAnsi="Calibri"/>
                <w:b/>
                <w:bCs/>
                <w:color w:val="FFFFFF"/>
                <w:sz w:val="18"/>
                <w:szCs w:val="18"/>
              </w:rPr>
              <w:t xml:space="preserve">Unit</w:t>
            </w:r>
          </w:p>
        </w:tc>
        <w:tc>
          <w:tcPr>
            <w:tcW w:type="dxa" w:w="900"/>
            <w:shd w:fill="1E1B4B" w:val="clear"/>
            <w:tcMar>
              <w:top w:type="dxa" w:w="60"/>
              <w:left w:type="dxa" w:w="80"/>
              <w:bottom w:type="dxa" w:w="60"/>
              <w:right w:type="dxa" w:w="80"/>
            </w:tcMar>
          </w:tcPr>
          <w:p>
            <w:pPr>
              <w:jc w:val="center"/>
            </w:pPr>
            <w:r>
              <w:rPr>
                <w:rFonts w:ascii="Calibri" w:cs="Calibri" w:eastAsia="Calibri" w:hAnsi="Calibri"/>
                <w:b/>
                <w:bCs/>
                <w:color w:val="FFFFFF"/>
                <w:sz w:val="18"/>
                <w:szCs w:val="18"/>
              </w:rPr>
              <w:t xml:space="preserve">Qty</w:t>
            </w:r>
          </w:p>
        </w:tc>
        <w:tc>
          <w:tcPr>
            <w:tcW w:type="dxa" w:w="1200"/>
            <w:shd w:fill="1E1B4B" w:val="clear"/>
            <w:tcMar>
              <w:top w:type="dxa" w:w="60"/>
              <w:left w:type="dxa" w:w="80"/>
              <w:bottom w:type="dxa" w:w="60"/>
              <w:right w:type="dxa" w:w="80"/>
            </w:tcMar>
          </w:tcPr>
          <w:p>
            <w:pPr>
              <w:jc w:val="right"/>
            </w:pPr>
            <w:r>
              <w:rPr>
                <w:rFonts w:ascii="Calibri" w:cs="Calibri" w:eastAsia="Calibri" w:hAnsi="Calibri"/>
                <w:b/>
                <w:bCs/>
                <w:color w:val="FFFFFF"/>
                <w:sz w:val="18"/>
                <w:szCs w:val="18"/>
              </w:rPr>
              <w:t xml:space="preserve">Rate (₹)</w:t>
            </w:r>
          </w:p>
        </w:tc>
        <w:tc>
          <w:tcPr>
            <w:tcW w:type="dxa" w:w="1400"/>
            <w:shd w:fill="1E1B4B" w:val="clear"/>
            <w:tcMar>
              <w:top w:type="dxa" w:w="60"/>
              <w:left w:type="dxa" w:w="80"/>
              <w:bottom w:type="dxa" w:w="60"/>
              <w:right w:type="dxa" w:w="80"/>
            </w:tcMar>
          </w:tcPr>
          <w:p>
            <w:pPr>
              <w:jc w:val="right"/>
            </w:pPr>
            <w:r>
              <w:rPr>
                <w:rFonts w:ascii="Calibri" w:cs="Calibri" w:eastAsia="Calibri" w:hAnsi="Calibri"/>
                <w:b/>
                <w:bCs/>
                <w:color w:val="FFFFFF"/>
                <w:sz w:val="18"/>
                <w:szCs w:val="18"/>
              </w:rPr>
              <w:t xml:space="preserve">Amount (₹)</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Wardrobes — 19mm BWP plywood, laminate finish, SS hinges, drawers with lock</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Sft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120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1,350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1,62,000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2</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TV unit — box-type cabinet, 450mm depth, laminate finish</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Sft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45</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950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42,750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Kitchen cabinet bottom unit — 19mm BWP plywood, auto-loaded hinges</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Sft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30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1,980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59,400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4</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Kitchen overhead/middle unit — 19mm BWP plywood, laminate finish</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Sft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14</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1,100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15,400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5</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Full-height storage &amp; loft unit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Sft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50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875</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43,750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6</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Pooja unit — as per design</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Sft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45</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850</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38,250</w:t>
            </w:r>
          </w:p>
        </w:tc>
      </w:tr>
      <w:tr>
        <w:tc>
          <w:tcPr>
            <w:tcW w:type="dxa" w:w="5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7</w:t>
            </w:r>
          </w:p>
        </w:tc>
        <w:tc>
          <w:tcPr>
            <w:tcW w:type="dxa" w:w="4600"/>
            <w:tcMar>
              <w:top w:type="dxa" w:w="50"/>
              <w:left w:type="dxa" w:w="80"/>
              <w:bottom w:type="dxa" w:w="50"/>
              <w:right w:type="dxa" w:w="80"/>
            </w:tcMar>
          </w:tcPr>
          <w:p>
            <w:pPr>
              <w:jc w:val="left"/>
            </w:pPr>
            <w:r>
              <w:rPr>
                <w:rFonts w:ascii="Calibri" w:cs="Calibri" w:eastAsia="Calibri" w:hAnsi="Calibri"/>
                <w:b w:val="false"/>
                <w:bCs w:val="false"/>
                <w:sz w:val="18"/>
                <w:szCs w:val="18"/>
              </w:rPr>
              <w:t xml:space="preserve">False ceiling — gypsum board, Saint-Gobain Gyproc system</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Sft</w:t>
            </w:r>
          </w:p>
        </w:tc>
        <w:tc>
          <w:tcPr>
            <w:tcW w:type="dxa" w:w="900"/>
            <w:tcMar>
              <w:top w:type="dxa" w:w="50"/>
              <w:left w:type="dxa" w:w="80"/>
              <w:bottom w:type="dxa" w:w="50"/>
              <w:right w:type="dxa" w:w="80"/>
            </w:tcMar>
          </w:tcPr>
          <w:p>
            <w:pPr>
              <w:jc w:val="center"/>
            </w:pPr>
            <w:r>
              <w:rPr>
                <w:rFonts w:ascii="Calibri" w:cs="Calibri" w:eastAsia="Calibri" w:hAnsi="Calibri"/>
                <w:b w:val="false"/>
                <w:bCs w:val="false"/>
                <w:sz w:val="18"/>
                <w:szCs w:val="18"/>
              </w:rPr>
              <w:t xml:space="preserve">500</w:t>
            </w:r>
          </w:p>
        </w:tc>
        <w:tc>
          <w:tcPr>
            <w:tcW w:type="dxa" w:w="12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75</w:t>
            </w:r>
          </w:p>
        </w:tc>
        <w:tc>
          <w:tcPr>
            <w:tcW w:type="dxa" w:w="1400"/>
            <w:tcMar>
              <w:top w:type="dxa" w:w="50"/>
              <w:left w:type="dxa" w:w="80"/>
              <w:bottom w:type="dxa" w:w="50"/>
              <w:right w:type="dxa" w:w="80"/>
            </w:tcMar>
          </w:tcPr>
          <w:p>
            <w:pPr>
              <w:jc w:val="right"/>
            </w:pPr>
            <w:r>
              <w:rPr>
                <w:rFonts w:ascii="Calibri" w:cs="Calibri" w:eastAsia="Calibri" w:hAnsi="Calibri"/>
                <w:b w:val="false"/>
                <w:bCs w:val="false"/>
                <w:sz w:val="18"/>
                <w:szCs w:val="18"/>
              </w:rPr>
              <w:t xml:space="preserve">37,500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ESTIMATED TOTAL (B) — Interiors</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3,99,050</w:t>
            </w:r>
          </w:p>
        </w:tc>
      </w:tr>
      <w:tr>
        <w:tc>
          <w:tcPr>
            <w:tcW w:type="dxa" w:w="5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46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TOTAL (A + B)</w:t>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9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200"/>
            <w:shd w:fill="F4F2EE" w:val="clear"/>
            <w:tcMar>
              <w:top w:type="dxa" w:w="60"/>
              <w:left w:type="dxa" w:w="80"/>
              <w:bottom w:type="dxa" w:w="60"/>
              <w:right w:type="dxa" w:w="80"/>
            </w:tcMar>
          </w:tcPr>
          <w:p>
            <w:pPr>
              <w:jc w:val="left"/>
            </w:pPr>
            <w:r>
              <w:rPr>
                <w:rFonts w:ascii="Calibri" w:cs="Calibri" w:eastAsia="Calibri" w:hAnsi="Calibri"/>
                <w:b/>
                <w:bCs/>
                <w:sz w:val="18"/>
                <w:szCs w:val="18"/>
              </w:rPr>
              <w:t xml:space="preserve"/>
            </w:r>
          </w:p>
        </w:tc>
        <w:tc>
          <w:tcPr>
            <w:tcW w:type="dxa" w:w="1400"/>
            <w:shd w:fill="F4F2EE" w:val="clear"/>
            <w:tcMar>
              <w:top w:type="dxa" w:w="60"/>
              <w:left w:type="dxa" w:w="80"/>
              <w:bottom w:type="dxa" w:w="60"/>
              <w:right w:type="dxa" w:w="80"/>
            </w:tcMar>
          </w:tcPr>
          <w:p>
            <w:pPr>
              <w:jc w:val="right"/>
            </w:pPr>
            <w:r>
              <w:rPr>
                <w:rFonts w:ascii="Calibri" w:cs="Calibri" w:eastAsia="Calibri" w:hAnsi="Calibri"/>
                <w:b/>
                <w:bCs/>
                <w:sz w:val="18"/>
                <w:szCs w:val="18"/>
              </w:rPr>
              <w:t xml:space="preserve">73,66,274</w:t>
            </w:r>
          </w:p>
        </w:tc>
      </w:tr>
    </w:tbl>
    <w:p>
      <w:pPr>
        <w:spacing w:before="300"/>
      </w:pPr>
    </w:p>
    <w:p>
      <w:r>
        <w:rPr>
          <w:rFonts w:ascii="Calibri" w:cs="Calibri" w:eastAsia="Calibri" w:hAnsi="Calibri"/>
          <w:i/>
          <w:iCs/>
          <w:color w:val="8C857A"/>
          <w:sz w:val="17"/>
          <w:szCs w:val="17"/>
        </w:rPr>
        <w:t xml:space="preserve">Note: Rates shown are illustrative market rates for reference and should be updated to current rates before submission. This estimate covers civil, electrical, plumbing, and optional interior works as itemised above. For bank loan submission, this estimate is typically accompanied by the Panchayat/BMRDA-approved building plan and a construction agreement.</w:t>
      </w:r>
    </w:p>
    <w:p>
      <w:pPr>
        <w:spacing w:before="300"/>
      </w:pPr>
    </w:p>
    <w:p>
      <w:r>
        <w:rPr>
          <w:rFonts w:ascii="Calibri" w:cs="Calibri" w:eastAsia="Calibri" w:hAnsi="Calibri"/>
          <w:b/>
          <w:bCs/>
          <w:sz w:val="20"/>
          <w:szCs w:val="20"/>
        </w:rPr>
        <w:t xml:space="preserve">Prepared by: HoskoteConstruction</w:t>
      </w:r>
    </w:p>
    <w:p>
      <w:r>
        <w:rPr>
          <w:rFonts w:ascii="Calibri" w:cs="Calibri" w:eastAsia="Calibri" w:hAnsi="Calibri"/>
          <w:sz w:val="20"/>
          <w:szCs w:val="20"/>
        </w:rPr>
        <w:t xml:space="preserve">Certified by: _______________________ (Civil Engineer, Name &amp; License No.)</w:t>
      </w:r>
    </w:p>
    <w:sectPr>
      <w:pgSz w:w="16838" w:h="11906"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2026-08-21T12:01:08.897Z</dcterms:created>
  <dcterms:modified xsi:type="dcterms:W3CDTF">2026-08-21T12:01:08.907Z</dcterms:modified>
</cp:coreProperties>
</file>

<file path=docProps/custom.xml><?xml version="1.0" encoding="utf-8"?>
<Properties xmlns="http://schemas.openxmlformats.org/officeDocument/2006/custom-properties" xmlns:vt="http://schemas.openxmlformats.org/officeDocument/2006/docPropsVTypes"/>
</file>